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6A3F20"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A3F20" w:rsidRPr="00493360" w:rsidRDefault="006A3F20" w:rsidP="00400BAE">
            <w:pPr>
              <w:rPr>
                <w:b/>
              </w:rPr>
            </w:pPr>
          </w:p>
          <w:p w:rsidR="006A3F20" w:rsidRPr="00493360" w:rsidRDefault="006A3F20" w:rsidP="00400BAE">
            <w:pPr>
              <w:jc w:val="center"/>
              <w:rPr>
                <w:b/>
              </w:rPr>
            </w:pPr>
            <w:r w:rsidRPr="00493360">
              <w:rPr>
                <w:b/>
              </w:rPr>
              <w:drawing>
                <wp:inline distT="0" distB="0" distL="0" distR="0" wp14:anchorId="1E0046E1" wp14:editId="0BABD7A5">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6A3F20" w:rsidRPr="00493360" w:rsidRDefault="006A3F20"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A3F20" w:rsidRPr="00493360" w:rsidRDefault="006A3F20" w:rsidP="00400BAE">
            <w:pPr>
              <w:rPr>
                <w:b/>
              </w:rPr>
            </w:pPr>
          </w:p>
          <w:p w:rsidR="006A3F20" w:rsidRPr="00493360" w:rsidRDefault="006A3F20" w:rsidP="00400BAE">
            <w:pPr>
              <w:rPr>
                <w:b/>
              </w:rPr>
            </w:pPr>
            <w:r w:rsidRPr="00493360">
              <w:rPr>
                <w:b/>
              </w:rPr>
              <w:t xml:space="preserve">SOP No: </w:t>
            </w:r>
          </w:p>
          <w:p w:rsidR="006A3F20" w:rsidRPr="00493360" w:rsidRDefault="006A3F20" w:rsidP="00400BAE">
            <w:pPr>
              <w:rPr>
                <w:b/>
              </w:rPr>
            </w:pPr>
            <w:r w:rsidRPr="00493360">
              <w:rPr>
                <w:b/>
              </w:rPr>
              <w:t>Version: 1</w:t>
            </w:r>
          </w:p>
          <w:p w:rsidR="006A3F20" w:rsidRPr="00493360" w:rsidRDefault="006A3F20" w:rsidP="00400BAE">
            <w:pPr>
              <w:rPr>
                <w:b/>
              </w:rPr>
            </w:pPr>
            <w:r w:rsidRPr="00493360">
              <w:rPr>
                <w:b/>
              </w:rPr>
              <w:t xml:space="preserve">Effective Date: </w:t>
            </w:r>
          </w:p>
        </w:tc>
      </w:tr>
      <w:tr w:rsidR="006A3F20"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6A3F20" w:rsidRDefault="006A3F20" w:rsidP="00400BAE">
            <w:pPr>
              <w:rPr>
                <w:b/>
              </w:rPr>
            </w:pPr>
          </w:p>
          <w:p w:rsidR="006A3F20" w:rsidRPr="00493360" w:rsidRDefault="006A3F20" w:rsidP="00400BAE">
            <w:pPr>
              <w:rPr>
                <w:b/>
              </w:rPr>
            </w:pPr>
            <w:r w:rsidRPr="00493360">
              <w:rPr>
                <w:b/>
              </w:rPr>
              <w:t xml:space="preserve">Title:   </w:t>
            </w:r>
            <w:r w:rsidRPr="006A3F20">
              <w:rPr>
                <w:b/>
              </w:rPr>
              <w:t xml:space="preserve"> </w:t>
            </w:r>
            <w:r w:rsidRPr="006A3F20">
              <w:rPr>
                <w:b/>
              </w:rPr>
              <w:t>Managing Investigational Medicinal Products (IMPs)</w:t>
            </w:r>
          </w:p>
        </w:tc>
      </w:tr>
      <w:tr w:rsidR="006A3F2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A3F20" w:rsidRPr="00210935" w:rsidRDefault="006A3F20"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6A3F20" w:rsidRPr="00210935" w:rsidRDefault="006A3F20"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A3F20" w:rsidRPr="00210935" w:rsidRDefault="006A3F20"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6A3F20" w:rsidRPr="00210935" w:rsidRDefault="006A3F20" w:rsidP="00400BAE">
            <w:pPr>
              <w:jc w:val="center"/>
              <w:rPr>
                <w:b/>
              </w:rPr>
            </w:pPr>
            <w:r w:rsidRPr="00210935">
              <w:rPr>
                <w:b/>
              </w:rPr>
              <w:t>DATE</w:t>
            </w:r>
          </w:p>
        </w:tc>
      </w:tr>
      <w:tr w:rsidR="006A3F2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pPr>
          </w:p>
        </w:tc>
      </w:tr>
      <w:tr w:rsidR="006A3F2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pPr>
          </w:p>
        </w:tc>
      </w:tr>
      <w:tr w:rsidR="006A3F2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tabs>
                <w:tab w:val="left" w:pos="8985"/>
              </w:tabs>
              <w:jc w:val="center"/>
              <w:rPr>
                <w:b/>
              </w:rPr>
            </w:pPr>
            <w:r w:rsidRPr="00615AFA">
              <w:rPr>
                <w:b/>
              </w:rPr>
              <w:t>QA UNIT</w:t>
            </w:r>
          </w:p>
          <w:p w:rsidR="006A3F20" w:rsidRPr="00615AFA" w:rsidRDefault="006A3F20"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pPr>
          </w:p>
        </w:tc>
      </w:tr>
      <w:tr w:rsidR="006A3F2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tabs>
                <w:tab w:val="left" w:pos="8985"/>
              </w:tabs>
              <w:jc w:val="center"/>
              <w:rPr>
                <w:b/>
              </w:rPr>
            </w:pPr>
            <w:r w:rsidRPr="00615AFA">
              <w:rPr>
                <w:b/>
              </w:rPr>
              <w:t>APPROVAL</w:t>
            </w:r>
          </w:p>
          <w:p w:rsidR="006A3F20" w:rsidRPr="00615AFA" w:rsidRDefault="006A3F20"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A3F20" w:rsidRPr="00615AFA" w:rsidRDefault="006A3F20" w:rsidP="00400BAE">
            <w:pPr>
              <w:jc w:val="center"/>
            </w:pPr>
          </w:p>
        </w:tc>
      </w:tr>
    </w:tbl>
    <w:p w:rsidR="006A3F20" w:rsidRDefault="006A3F20"/>
    <w:p w:rsidR="006A3F20" w:rsidRDefault="006A3F20">
      <w:r>
        <w:br w:type="page"/>
      </w:r>
    </w:p>
    <w:p w:rsidR="006A3F20" w:rsidRPr="006A3F20" w:rsidRDefault="006A3F20" w:rsidP="006A3F20">
      <w:pPr>
        <w:rPr>
          <w:b/>
        </w:rPr>
      </w:pPr>
      <w:r>
        <w:rPr>
          <w:b/>
        </w:rPr>
        <w:lastRenderedPageBreak/>
        <w:t>11.1 Purpose</w:t>
      </w:r>
    </w:p>
    <w:p w:rsidR="006A3F20" w:rsidRPr="000C3B0C" w:rsidRDefault="006A3F20" w:rsidP="006A3F20">
      <w:r w:rsidRPr="000C3B0C">
        <w:t>To describe process and requirements for the receipt, storage, dispensing, and return or destruction of Invest</w:t>
      </w:r>
      <w:r>
        <w:t>igational Product (IMP/IP) at site.</w:t>
      </w:r>
    </w:p>
    <w:p w:rsidR="006A3F20" w:rsidRPr="006A3F20" w:rsidRDefault="006A3F20" w:rsidP="006A3F20">
      <w:pPr>
        <w:rPr>
          <w:b/>
        </w:rPr>
      </w:pPr>
      <w:r w:rsidRPr="006A3F20">
        <w:rPr>
          <w:b/>
        </w:rPr>
        <w:t>11.2 Scope</w:t>
      </w:r>
    </w:p>
    <w:p w:rsidR="006A3F20" w:rsidRPr="000C3B0C" w:rsidRDefault="006A3F20" w:rsidP="006A3F20">
      <w:r w:rsidRPr="000C3B0C">
        <w:t xml:space="preserve">This Standard Operating Procedure (SOP) will apply to all studies being conducted at </w:t>
      </w:r>
      <w:r>
        <w:t>[INSTITUTION]</w:t>
      </w:r>
      <w:r>
        <w:t>.</w:t>
      </w:r>
    </w:p>
    <w:p w:rsidR="006A3F20" w:rsidRPr="000C3B0C" w:rsidRDefault="006A3F20" w:rsidP="006A3F20">
      <w:r w:rsidRPr="000C3B0C">
        <w:t xml:space="preserve">Any new trial which is initiated during active period of the SOP will be covered under the SOPs, unless otherwise </w:t>
      </w:r>
      <w:r>
        <w:t>indicated. If necessary a study-specific SOP may be prepared.</w:t>
      </w:r>
    </w:p>
    <w:p w:rsidR="006A3F20" w:rsidRDefault="006A3F20" w:rsidP="006A3F20">
      <w:pPr>
        <w:rPr>
          <w:b/>
        </w:rPr>
      </w:pPr>
    </w:p>
    <w:p w:rsidR="006A3F20" w:rsidRPr="006A3F20" w:rsidRDefault="006A3F20" w:rsidP="006A3F20">
      <w:pPr>
        <w:rPr>
          <w:b/>
        </w:rPr>
      </w:pPr>
      <w:r w:rsidRPr="006A3F20">
        <w:rPr>
          <w:b/>
        </w:rPr>
        <w:t>11.3 Procedure</w:t>
      </w:r>
    </w:p>
    <w:p w:rsidR="006A3F20" w:rsidRPr="006A3F20" w:rsidRDefault="006A3F20" w:rsidP="006A3F20">
      <w:pPr>
        <w:rPr>
          <w:b/>
        </w:rPr>
      </w:pPr>
      <w:r w:rsidRPr="006A3F20">
        <w:rPr>
          <w:b/>
        </w:rPr>
        <w:t>11.3.1 Prior to receipt of Investiga</w:t>
      </w:r>
      <w:r>
        <w:rPr>
          <w:b/>
        </w:rPr>
        <w:t>tional Product (IP)/ Study Drug</w:t>
      </w:r>
    </w:p>
    <w:p w:rsidR="006A3F20" w:rsidRPr="000C3B0C" w:rsidRDefault="006A3F20" w:rsidP="006A3F20">
      <w:r>
        <w:t xml:space="preserve">The </w:t>
      </w:r>
      <w:r w:rsidRPr="000C3B0C">
        <w:t>PI must identify an area with restricted access and appropriate temperature control for IP storage.</w:t>
      </w:r>
    </w:p>
    <w:p w:rsidR="006A3F20" w:rsidRPr="000C3B0C" w:rsidRDefault="006A3F20" w:rsidP="006A3F20">
      <w:r w:rsidRPr="000C3B0C">
        <w:t>Assign team members who would be responsible for IP receipt, storage, dispensing, accountability and recording the temperature for the storage area and returning or destruction of the IP/ study drug.</w:t>
      </w:r>
    </w:p>
    <w:p w:rsidR="006A3F20" w:rsidRPr="000C3B0C" w:rsidRDefault="006A3F20" w:rsidP="006A3F20">
      <w:r w:rsidRPr="000C3B0C">
        <w:t>The person must be identified on the study delegation log.</w:t>
      </w:r>
    </w:p>
    <w:p w:rsidR="006A3F20" w:rsidRPr="000C3B0C" w:rsidRDefault="006A3F20" w:rsidP="006A3F20"/>
    <w:p w:rsidR="006A3F20" w:rsidRPr="006A3F20" w:rsidRDefault="006A3F20" w:rsidP="006A3F20">
      <w:pPr>
        <w:rPr>
          <w:b/>
        </w:rPr>
      </w:pPr>
      <w:r w:rsidRPr="006A3F20">
        <w:rPr>
          <w:b/>
        </w:rPr>
        <w:t>11.3.2 Receipt of Investiga</w:t>
      </w:r>
      <w:r>
        <w:rPr>
          <w:b/>
        </w:rPr>
        <w:t>tional Product (IP)/ Study Drug</w:t>
      </w:r>
    </w:p>
    <w:p w:rsidR="006A3F20" w:rsidRPr="000C3B0C" w:rsidRDefault="006A3F20" w:rsidP="006A3F20">
      <w:r w:rsidRPr="000C3B0C">
        <w:t>Upon receipt of the IP shipment at the site, the CTC/delegated member will unpack the IP box and check the IP inventory against the shipping form.</w:t>
      </w:r>
    </w:p>
    <w:p w:rsidR="006A3F20" w:rsidRPr="000C3B0C" w:rsidRDefault="006A3F20" w:rsidP="006A3F20">
      <w:r w:rsidRPr="000C3B0C">
        <w:t>Checking the invento</w:t>
      </w:r>
      <w:r>
        <w:t xml:space="preserve">ry will include the following: </w:t>
      </w:r>
    </w:p>
    <w:p w:rsidR="006A3F20" w:rsidRPr="000C3B0C" w:rsidRDefault="006A3F20" w:rsidP="006A3F20">
      <w:pPr>
        <w:pStyle w:val="ListParagraph"/>
        <w:numPr>
          <w:ilvl w:val="0"/>
          <w:numId w:val="1"/>
        </w:numPr>
      </w:pPr>
      <w:r w:rsidRPr="000C3B0C">
        <w:t>Checking the packaging numbers</w:t>
      </w:r>
    </w:p>
    <w:p w:rsidR="006A3F20" w:rsidRPr="000C3B0C" w:rsidRDefault="006A3F20" w:rsidP="006A3F20">
      <w:pPr>
        <w:pStyle w:val="ListParagraph"/>
        <w:numPr>
          <w:ilvl w:val="0"/>
          <w:numId w:val="1"/>
        </w:numPr>
      </w:pPr>
      <w:r w:rsidRPr="000C3B0C">
        <w:t xml:space="preserve">Unique Kit numbers/IP number </w:t>
      </w:r>
    </w:p>
    <w:p w:rsidR="006A3F20" w:rsidRPr="000C3B0C" w:rsidRDefault="006A3F20" w:rsidP="006A3F20">
      <w:pPr>
        <w:pStyle w:val="ListParagraph"/>
        <w:numPr>
          <w:ilvl w:val="0"/>
          <w:numId w:val="1"/>
        </w:numPr>
      </w:pPr>
      <w:r w:rsidRPr="000C3B0C">
        <w:t>Lot/batch numbers</w:t>
      </w:r>
    </w:p>
    <w:p w:rsidR="006A3F20" w:rsidRPr="000C3B0C" w:rsidRDefault="006A3F20" w:rsidP="006A3F20">
      <w:pPr>
        <w:pStyle w:val="ListParagraph"/>
        <w:numPr>
          <w:ilvl w:val="0"/>
          <w:numId w:val="1"/>
        </w:numPr>
      </w:pPr>
      <w:r w:rsidRPr="000C3B0C">
        <w:t xml:space="preserve">Number of IPs in the container (s) </w:t>
      </w:r>
    </w:p>
    <w:p w:rsidR="006A3F20" w:rsidRPr="000C3B0C" w:rsidRDefault="006A3F20" w:rsidP="006A3F20">
      <w:pPr>
        <w:pStyle w:val="ListParagraph"/>
        <w:numPr>
          <w:ilvl w:val="0"/>
          <w:numId w:val="1"/>
        </w:numPr>
      </w:pPr>
      <w:r>
        <w:t>IP expiry date</w:t>
      </w:r>
    </w:p>
    <w:p w:rsidR="006A3F20" w:rsidRPr="000C3B0C" w:rsidRDefault="006A3F20" w:rsidP="006A3F20">
      <w:r w:rsidRPr="000C3B0C">
        <w:t xml:space="preserve">Any discrepancies (e.g. tampering/ breakage of the IP kit, mismatch in the number of kits, temperature excursions etc) identified must be documented and informed to the sponsor/CRO point of contact immediately and </w:t>
      </w:r>
      <w:r>
        <w:t>seek advice for the next steps.</w:t>
      </w:r>
    </w:p>
    <w:p w:rsidR="006A3F20" w:rsidRPr="000C3B0C" w:rsidRDefault="006A3F20" w:rsidP="006A3F20">
      <w:r w:rsidRPr="000C3B0C">
        <w:t>Such IP must be stored separately and must be dispensed only after confirmation from the sponsor/CRO/designee. This must be done by the person designated for IP accoun</w:t>
      </w:r>
      <w:r>
        <w:t>tability.</w:t>
      </w:r>
    </w:p>
    <w:p w:rsidR="006A3F20" w:rsidRPr="000C3B0C" w:rsidRDefault="006A3F20" w:rsidP="006A3F20">
      <w:r w:rsidRPr="000C3B0C">
        <w:t xml:space="preserve">If the inventory matches the drug received, the pharmacist/delegated person will sign and date </w:t>
      </w:r>
      <w:r w:rsidRPr="006A3F20">
        <w:rPr>
          <w:i/>
        </w:rPr>
        <w:t>(note: mention logger temperature present in the IP container on the receipt form) on the shipping receipt or Investigational Product Receipt Form, return a copy to the sponsor, and file the original in the Trial Master File (TMF).</w:t>
      </w:r>
    </w:p>
    <w:p w:rsidR="006A3F20" w:rsidRPr="000C3B0C" w:rsidRDefault="006A3F20" w:rsidP="006A3F20">
      <w:r w:rsidRPr="000C3B0C">
        <w:t xml:space="preserve">Shipment inventory must be </w:t>
      </w:r>
      <w:r>
        <w:t>completed</w:t>
      </w:r>
      <w:r w:rsidRPr="000C3B0C">
        <w:t xml:space="preserve"> as per the study specific procedure (e.g. IVRS o</w:t>
      </w:r>
      <w:r>
        <w:t>r IWRS, accountability log etc)</w:t>
      </w:r>
    </w:p>
    <w:p w:rsidR="006A3F20" w:rsidRPr="000C3B0C" w:rsidRDefault="006A3F20" w:rsidP="006A3F20">
      <w:r w:rsidRPr="000C3B0C">
        <w:t>The IP must be immediately transferred to the designated storage area at condition</w:t>
      </w:r>
      <w:r>
        <w:t>s as mentioned in the protocol.</w:t>
      </w:r>
    </w:p>
    <w:p w:rsidR="006A3F20" w:rsidRPr="000C3B0C" w:rsidRDefault="006A3F20" w:rsidP="006A3F20">
      <w:r w:rsidRPr="000C3B0C">
        <w:t>The temperature of the storage area must be recorded with a calibrated thermometer</w:t>
      </w:r>
      <w:r>
        <w:t xml:space="preserve"> </w:t>
      </w:r>
      <w:r w:rsidRPr="000C3B0C">
        <w:t>for the temperature range once daily or as mentioned in the protocol. It is strongly recommended that accurate temperature must be recorded.</w:t>
      </w:r>
    </w:p>
    <w:p w:rsidR="006A3F20" w:rsidRPr="000C3B0C" w:rsidRDefault="006A3F20" w:rsidP="006A3F20">
      <w:r w:rsidRPr="000C3B0C">
        <w:t>If available maintain the hard copy of auto generated temperature logger.</w:t>
      </w:r>
    </w:p>
    <w:p w:rsidR="006A3F20" w:rsidRPr="000C3B0C" w:rsidRDefault="006A3F20" w:rsidP="006A3F20"/>
    <w:p w:rsidR="006A3F20" w:rsidRPr="006A3F20" w:rsidRDefault="006A3F20" w:rsidP="006A3F20">
      <w:pPr>
        <w:rPr>
          <w:b/>
        </w:rPr>
      </w:pPr>
      <w:r>
        <w:rPr>
          <w:b/>
        </w:rPr>
        <w:t>11.3.3 IP / Study Drug Storage</w:t>
      </w:r>
    </w:p>
    <w:p w:rsidR="006A3F20" w:rsidRPr="000C3B0C" w:rsidRDefault="006A3F20" w:rsidP="006A3F20">
      <w:r w:rsidRPr="000C3B0C">
        <w:t>Temperature of the IP storage area must be maintained on a 24-hour basis. The temperature will be recorded once daily or as mentioned in the protocol, except on holidays and Sundays. The capture of minimum and maximum values of temperature will be recorded onl</w:t>
      </w:r>
      <w:r>
        <w:t>y if specified by the sponsor/CRO.</w:t>
      </w:r>
    </w:p>
    <w:p w:rsidR="006A3F20" w:rsidRPr="000C3B0C" w:rsidRDefault="006A3F20" w:rsidP="006A3F20">
      <w:r w:rsidRPr="000C3B0C">
        <w:t>In case a temperature excursion is noted, the CTC/designated study team member must inform Investigator and the following telephonically fol</w:t>
      </w:r>
      <w:r>
        <w:t>lowed by email at the earliest:</w:t>
      </w:r>
    </w:p>
    <w:p w:rsidR="006A3F20" w:rsidRPr="000C3B0C" w:rsidRDefault="006A3F20" w:rsidP="006A3F20">
      <w:pPr>
        <w:pStyle w:val="ListParagraph"/>
        <w:numPr>
          <w:ilvl w:val="0"/>
          <w:numId w:val="2"/>
        </w:numPr>
      </w:pPr>
      <w:r w:rsidRPr="000C3B0C">
        <w:t xml:space="preserve">Inform the sponsor / CRO and document the same </w:t>
      </w:r>
    </w:p>
    <w:p w:rsidR="006A3F20" w:rsidRPr="000C3B0C" w:rsidRDefault="006A3F20" w:rsidP="006A3F20">
      <w:pPr>
        <w:pStyle w:val="ListParagraph"/>
        <w:numPr>
          <w:ilvl w:val="0"/>
          <w:numId w:val="2"/>
        </w:numPr>
      </w:pPr>
      <w:r w:rsidRPr="000C3B0C">
        <w:t>Try to identify the cause of temperature excursion</w:t>
      </w:r>
    </w:p>
    <w:p w:rsidR="006A3F20" w:rsidRPr="000C3B0C" w:rsidRDefault="006A3F20" w:rsidP="006A3F20">
      <w:pPr>
        <w:pStyle w:val="ListParagraph"/>
        <w:numPr>
          <w:ilvl w:val="0"/>
          <w:numId w:val="2"/>
        </w:numPr>
      </w:pPr>
      <w:r w:rsidRPr="000C3B0C">
        <w:t>Take remedial actions in consultation with sponsor/CRO</w:t>
      </w:r>
    </w:p>
    <w:p w:rsidR="006A3F20" w:rsidRPr="000C3B0C" w:rsidRDefault="006A3F20" w:rsidP="006A3F20"/>
    <w:p w:rsidR="006A3F20" w:rsidRPr="000C3B0C" w:rsidRDefault="006A3F20" w:rsidP="006A3F20"/>
    <w:p w:rsidR="006A3F20" w:rsidRDefault="006A3F20" w:rsidP="006A3F20">
      <w:r w:rsidRPr="000C3B0C">
        <w:t>IP that has undergone a temperature excursion must be kept separately and must not be dispensed till a confirmation from sponsor/CRO is obtaine</w:t>
      </w:r>
      <w:r>
        <w:t>d i.e. the IP is “fit for use”.</w:t>
      </w:r>
    </w:p>
    <w:p w:rsidR="006A3F20" w:rsidRPr="000C3B0C" w:rsidRDefault="006A3F20" w:rsidP="006A3F20"/>
    <w:p w:rsidR="006A3F20" w:rsidRPr="006A3F20" w:rsidRDefault="006A3F20" w:rsidP="006A3F20">
      <w:pPr>
        <w:rPr>
          <w:b/>
        </w:rPr>
      </w:pPr>
      <w:r w:rsidRPr="006A3F20">
        <w:rPr>
          <w:b/>
        </w:rPr>
        <w:t>11</w:t>
      </w:r>
      <w:r w:rsidRPr="006A3F20">
        <w:rPr>
          <w:b/>
        </w:rPr>
        <w:t>.3.4 IP / Study Drug Dispensing</w:t>
      </w:r>
    </w:p>
    <w:p w:rsidR="006A3F20" w:rsidRPr="000C3B0C" w:rsidRDefault="006A3F20" w:rsidP="006A3F20">
      <w:r w:rsidRPr="000C3B0C">
        <w:t>IP must be dispensed by the CTC/delegated member</w:t>
      </w:r>
      <w:r w:rsidRPr="000C3B0C">
        <w:tab/>
        <w:t xml:space="preserve">to subjects randomized on the study after fulfilling the eligibility criteria in </w:t>
      </w:r>
      <w:r>
        <w:t>accordance with the protocol.</w:t>
      </w:r>
    </w:p>
    <w:p w:rsidR="006A3F20" w:rsidRPr="000C3B0C" w:rsidRDefault="006A3F20" w:rsidP="006A3F20">
      <w:r w:rsidRPr="000C3B0C">
        <w:t>Upon dispensing the IP the CTC/delegated member must note following in the source note and IP package:</w:t>
      </w:r>
    </w:p>
    <w:p w:rsidR="006A3F20" w:rsidRPr="000C3B0C" w:rsidRDefault="006A3F20" w:rsidP="006A3F20">
      <w:pPr>
        <w:pStyle w:val="ListParagraph"/>
        <w:numPr>
          <w:ilvl w:val="0"/>
          <w:numId w:val="3"/>
        </w:numPr>
      </w:pPr>
      <w:r w:rsidRPr="000C3B0C">
        <w:t xml:space="preserve">Trial/Study ID number (both source notes and IP package) </w:t>
      </w:r>
    </w:p>
    <w:p w:rsidR="006A3F20" w:rsidRPr="000C3B0C" w:rsidRDefault="006A3F20" w:rsidP="006A3F20">
      <w:pPr>
        <w:pStyle w:val="ListParagraph"/>
        <w:numPr>
          <w:ilvl w:val="0"/>
          <w:numId w:val="3"/>
        </w:numPr>
      </w:pPr>
      <w:r w:rsidRPr="000C3B0C">
        <w:t xml:space="preserve">Initial of the subject (both source notes and IP package) </w:t>
      </w:r>
    </w:p>
    <w:p w:rsidR="006A3F20" w:rsidRPr="000C3B0C" w:rsidRDefault="006A3F20" w:rsidP="006A3F20">
      <w:pPr>
        <w:pStyle w:val="ListParagraph"/>
        <w:numPr>
          <w:ilvl w:val="0"/>
          <w:numId w:val="3"/>
        </w:numPr>
      </w:pPr>
      <w:r w:rsidRPr="000C3B0C">
        <w:t>Date of IP dispensing (both source notes and IP package)</w:t>
      </w:r>
    </w:p>
    <w:p w:rsidR="006A3F20" w:rsidRPr="000C3B0C" w:rsidRDefault="006A3F20" w:rsidP="006A3F20">
      <w:pPr>
        <w:pStyle w:val="ListParagraph"/>
        <w:numPr>
          <w:ilvl w:val="0"/>
          <w:numId w:val="3"/>
        </w:numPr>
      </w:pPr>
      <w:r w:rsidRPr="000C3B0C">
        <w:t xml:space="preserve">Batch number and quantity of IP dispensed (in the source note) </w:t>
      </w:r>
    </w:p>
    <w:p w:rsidR="006A3F20" w:rsidRPr="000C3B0C" w:rsidRDefault="006A3F20" w:rsidP="006A3F20">
      <w:pPr>
        <w:pStyle w:val="ListParagraph"/>
        <w:numPr>
          <w:ilvl w:val="0"/>
          <w:numId w:val="3"/>
        </w:numPr>
      </w:pPr>
      <w:r w:rsidRPr="000C3B0C">
        <w:t>E</w:t>
      </w:r>
      <w:r>
        <w:t>xpiry date (in the source note)</w:t>
      </w:r>
    </w:p>
    <w:p w:rsidR="006A3F20" w:rsidRPr="000C3B0C" w:rsidRDefault="006A3F20" w:rsidP="006A3F20">
      <w:r w:rsidRPr="000C3B0C">
        <w:t>This infor</w:t>
      </w:r>
      <w:r>
        <w:t>mation must be captured in Real-</w:t>
      </w:r>
      <w:r w:rsidRPr="000C3B0C">
        <w:t>time basis on the IP stickers available on IP containers, in the subject source notes as well as in the Drug Accountability Logs (AX1-V3/SOP11/V3</w:t>
      </w:r>
      <w:r>
        <w:t>).</w:t>
      </w:r>
    </w:p>
    <w:p w:rsidR="006A3F20" w:rsidRPr="000C3B0C" w:rsidRDefault="006A3F20" w:rsidP="006A3F20">
      <w:r w:rsidRPr="000C3B0C">
        <w:t xml:space="preserve">The CTC/delegated member will maintain a record of drug dispensed to and retrieved from each subject. To accomplish this, the CTC/delegated member will use the CRF or drug accountability diary (AX2 V3/SOP11/V3), if any and only </w:t>
      </w:r>
      <w:r>
        <w:t>if provided by the sponsor/CRO.</w:t>
      </w:r>
    </w:p>
    <w:p w:rsidR="006A3F20" w:rsidRPr="000C3B0C" w:rsidRDefault="006A3F20" w:rsidP="006A3F20">
      <w:r w:rsidRPr="000C3B0C">
        <w:t>The CTC/delegated member will explain to each subject the drug accountability needs for the study (e.g., the need for the subject to return unused, partially used, and empty packages).</w:t>
      </w:r>
    </w:p>
    <w:p w:rsidR="006A3F20" w:rsidRPr="000C3B0C" w:rsidRDefault="006A3F20" w:rsidP="006A3F20">
      <w:r w:rsidRPr="000C3B0C">
        <w:t>Requests for IP resupply must be done as per the study specific procedures.</w:t>
      </w:r>
    </w:p>
    <w:p w:rsidR="006A3F20" w:rsidRPr="000C3B0C" w:rsidRDefault="006A3F20" w:rsidP="006A3F20"/>
    <w:p w:rsidR="006A3F20" w:rsidRPr="006A3F20" w:rsidRDefault="006A3F20" w:rsidP="006A3F20">
      <w:pPr>
        <w:rPr>
          <w:b/>
        </w:rPr>
      </w:pPr>
      <w:r w:rsidRPr="006A3F20">
        <w:rPr>
          <w:b/>
        </w:rPr>
        <w:t>11.3.5 IP/ Study Drug Return</w:t>
      </w:r>
    </w:p>
    <w:p w:rsidR="006A3F20" w:rsidRPr="000C3B0C" w:rsidRDefault="006A3F20" w:rsidP="006A3F20">
      <w:r w:rsidRPr="000C3B0C">
        <w:t>The study subject will return all drug and study-related supplies to CTC/delegated member on the specified visit mentioned in the protocol.</w:t>
      </w:r>
    </w:p>
    <w:p w:rsidR="006A3F20" w:rsidRPr="000C3B0C" w:rsidRDefault="006A3F20" w:rsidP="006A3F20">
      <w:r w:rsidRPr="000C3B0C">
        <w:t>The CTC/delegated member will count the returned drug and compare this with the amount of drug expected to have been used since the previous study visit.</w:t>
      </w:r>
    </w:p>
    <w:p w:rsidR="006A3F20" w:rsidRPr="000C3B0C" w:rsidRDefault="006A3F20" w:rsidP="006A3F20"/>
    <w:p w:rsidR="006A3F20" w:rsidRPr="000C3B0C" w:rsidRDefault="006A3F20" w:rsidP="006A3F20"/>
    <w:p w:rsidR="006A3F20" w:rsidRPr="000C3B0C" w:rsidRDefault="006A3F20" w:rsidP="006A3F20">
      <w:r w:rsidRPr="000C3B0C">
        <w:t>CTC/delegated member must document IP returned by the subject in the subject’s source file as well as in the drug accountability logs (Attachment A</w:t>
      </w:r>
      <w:r>
        <w:t>) as per the study requirement.</w:t>
      </w:r>
    </w:p>
    <w:p w:rsidR="006A3F20" w:rsidRPr="000C3B0C" w:rsidRDefault="006A3F20" w:rsidP="006A3F20">
      <w:r w:rsidRPr="000C3B0C">
        <w:t>In case of missing IP or extra IP, the CTC/delegated member must obtain the information from the Subject and document the clarification provided in the source notes, drug dispensing log and CRF. This documentation sh</w:t>
      </w:r>
      <w:r>
        <w:t>ould be done in real time basis</w:t>
      </w:r>
    </w:p>
    <w:p w:rsidR="006A3F20" w:rsidRPr="000C3B0C" w:rsidRDefault="006A3F20" w:rsidP="006A3F20">
      <w:r w:rsidRPr="000C3B0C">
        <w:t>The CTC/delegated member will keep the Drug Dispensing Log and the drug accountability CRF pages updated, regardless of when the monitor wil</w:t>
      </w:r>
      <w:r>
        <w:t>l perform final accountability/</w:t>
      </w:r>
    </w:p>
    <w:p w:rsidR="006A3F20" w:rsidRPr="000C3B0C" w:rsidRDefault="006A3F20" w:rsidP="006A3F20">
      <w:r w:rsidRPr="000C3B0C">
        <w:t>The CTC/delegated member will store the returned drug separately in a secure area until it is veri</w:t>
      </w:r>
      <w:r>
        <w:t>fied by the CRA/Monitor.</w:t>
      </w:r>
    </w:p>
    <w:p w:rsidR="006A3F20" w:rsidRPr="000C3B0C" w:rsidRDefault="006A3F20" w:rsidP="006A3F20">
      <w:r w:rsidRPr="000C3B0C">
        <w:t>Whether the drug is to be returned to the sponsor or destroyed on-site will be determined by th</w:t>
      </w:r>
      <w:r>
        <w:t>e instructions in the protocol.</w:t>
      </w:r>
    </w:p>
    <w:p w:rsidR="006A3F20" w:rsidRPr="000C3B0C" w:rsidRDefault="006A3F20" w:rsidP="006A3F20">
      <w:r w:rsidRPr="000C3B0C">
        <w:t>The documentation of the destruction/ return must be maintained in the TMF.</w:t>
      </w:r>
    </w:p>
    <w:p w:rsidR="006A3F20" w:rsidRPr="000C3B0C" w:rsidRDefault="006A3F20" w:rsidP="006A3F20"/>
    <w:p w:rsidR="006A3F20" w:rsidRPr="006A3F20" w:rsidRDefault="006A3F20" w:rsidP="006A3F20">
      <w:pPr>
        <w:rPr>
          <w:b/>
        </w:rPr>
      </w:pPr>
      <w:r w:rsidRPr="006A3F20">
        <w:rPr>
          <w:b/>
        </w:rPr>
        <w:t>11.3.6 Return of IP to Sponsor</w:t>
      </w:r>
    </w:p>
    <w:p w:rsidR="006A3F20" w:rsidRDefault="006A3F20" w:rsidP="006A3F20">
      <w:r w:rsidRPr="000C3B0C">
        <w:t xml:space="preserve">As specified in the protocol, the IP will be returned to the sponsor at intervals or at the end of the study. The CTC/delegated member will follow the protocol or other instructions from the Sponsor or CRO to decide whether empty containers must </w:t>
      </w:r>
      <w:r>
        <w:t>be returned.</w:t>
      </w:r>
    </w:p>
    <w:p w:rsidR="006A3F20" w:rsidRPr="000C3B0C" w:rsidRDefault="006A3F20" w:rsidP="006A3F20">
      <w:r w:rsidRPr="000C3B0C">
        <w:t>The CRA/Monitor will perform the independent drug accountability review and will seal the drug that need to be shipped back to the Sponsor/CRO.</w:t>
      </w:r>
    </w:p>
    <w:p w:rsidR="006A3F20" w:rsidRDefault="006A3F20" w:rsidP="006A3F20">
      <w:r w:rsidRPr="000C3B0C">
        <w:t>The CRA/Monitor will arrange the preferred courier for the shipment of used and/or unused IP ba</w:t>
      </w:r>
      <w:r>
        <w:t>ck to the sponsor/CRO.</w:t>
      </w:r>
    </w:p>
    <w:p w:rsidR="006A3F20" w:rsidRPr="000C3B0C" w:rsidRDefault="006A3F20" w:rsidP="006A3F20">
      <w:r w:rsidRPr="000C3B0C">
        <w:t>The CTC will arrange for a gate pass for the shipment that nee</w:t>
      </w:r>
      <w:r>
        <w:t>ds to send back to sponsor/CRO.</w:t>
      </w:r>
    </w:p>
    <w:p w:rsidR="006A3F20" w:rsidRPr="000C3B0C" w:rsidRDefault="006A3F20" w:rsidP="006A3F20">
      <w:r w:rsidRPr="000C3B0C">
        <w:t xml:space="preserve">Unless instructed otherwise by the CRA/Monitor, the CTC/delegated member will: Perform an </w:t>
      </w:r>
      <w:r>
        <w:t>inventory of the drug supplies.</w:t>
      </w:r>
    </w:p>
    <w:p w:rsidR="006A3F20" w:rsidRDefault="006A3F20" w:rsidP="006A3F20">
      <w:r w:rsidRPr="000C3B0C">
        <w:t>Compare inventory with the study medication records.</w:t>
      </w:r>
    </w:p>
    <w:p w:rsidR="006A3F20" w:rsidRPr="000C3B0C" w:rsidRDefault="006A3F20" w:rsidP="006A3F20">
      <w:r w:rsidRPr="000C3B0C">
        <w:t>Document discrepancies in the CRF or in a memo to file.</w:t>
      </w:r>
    </w:p>
    <w:p w:rsidR="006A3F20" w:rsidRPr="000C3B0C" w:rsidRDefault="006A3F20" w:rsidP="006A3F20">
      <w:r w:rsidRPr="000C3B0C">
        <w:t xml:space="preserve">Complete the Drug Return/Destruction Form (in presence of monitor) or similar form </w:t>
      </w:r>
      <w:r>
        <w:t>provided by the sponsor or CRO.</w:t>
      </w:r>
    </w:p>
    <w:p w:rsidR="006A3F20" w:rsidRPr="000C3B0C" w:rsidRDefault="006A3F20" w:rsidP="006A3F20">
      <w:r w:rsidRPr="000C3B0C">
        <w:t>Include a copy of the signed and completed Drug Return Form with the drug shipment and place the original in the study file.</w:t>
      </w:r>
    </w:p>
    <w:p w:rsidR="006A3F20" w:rsidRPr="000C3B0C" w:rsidRDefault="006A3F20" w:rsidP="006A3F20"/>
    <w:p w:rsidR="006A3F20" w:rsidRPr="006A3F20" w:rsidRDefault="006A3F20" w:rsidP="006A3F20">
      <w:pPr>
        <w:rPr>
          <w:b/>
        </w:rPr>
      </w:pPr>
      <w:r w:rsidRPr="006A3F20">
        <w:rPr>
          <w:b/>
        </w:rPr>
        <w:t>11.3.7 On-Site D</w:t>
      </w:r>
      <w:r>
        <w:rPr>
          <w:b/>
        </w:rPr>
        <w:t>estruction of IP</w:t>
      </w:r>
    </w:p>
    <w:p w:rsidR="006A3F20" w:rsidRPr="000C3B0C" w:rsidRDefault="006A3F20" w:rsidP="006A3F20">
      <w:r w:rsidRPr="000C3B0C">
        <w:t>If the sponsor/CRO request for on-site destruction of the IP, t</w:t>
      </w:r>
      <w:r>
        <w:t>he CTC/delegated member should:</w:t>
      </w:r>
    </w:p>
    <w:p w:rsidR="006A3F20" w:rsidRPr="000C3B0C" w:rsidRDefault="006A3F20" w:rsidP="006A3F20">
      <w:pPr>
        <w:pStyle w:val="ListParagraph"/>
        <w:numPr>
          <w:ilvl w:val="0"/>
          <w:numId w:val="4"/>
        </w:numPr>
      </w:pPr>
      <w:r w:rsidRPr="000C3B0C">
        <w:t>Obtain a copy of the site’s SOP of Waste Management from department of Microbiology for IP destruction/disposition, provide a copy to the monit</w:t>
      </w:r>
      <w:r>
        <w:t>or, and file a copy in the TMF.</w:t>
      </w:r>
    </w:p>
    <w:p w:rsidR="006A3F20" w:rsidRPr="000C3B0C" w:rsidRDefault="006A3F20" w:rsidP="006A3F20">
      <w:pPr>
        <w:pStyle w:val="ListParagraph"/>
        <w:numPr>
          <w:ilvl w:val="0"/>
          <w:numId w:val="4"/>
        </w:numPr>
      </w:pPr>
      <w:r w:rsidRPr="000C3B0C">
        <w:t>Obtain written confirmation from the CRA/Monitor identifying the spe</w:t>
      </w:r>
      <w:r>
        <w:t>cific IP that can be destroyed.</w:t>
      </w:r>
    </w:p>
    <w:p w:rsidR="006A3F20" w:rsidRPr="000C3B0C" w:rsidRDefault="006A3F20" w:rsidP="006A3F20">
      <w:pPr>
        <w:pStyle w:val="ListParagraph"/>
        <w:numPr>
          <w:ilvl w:val="0"/>
          <w:numId w:val="4"/>
        </w:numPr>
      </w:pPr>
      <w:r w:rsidRPr="000C3B0C">
        <w:t xml:space="preserve">Obtain appropriate paperwork concerning destruction of the drug that is required in the site’s Waste Management SOPs and </w:t>
      </w:r>
      <w:r>
        <w:t>place a copy in the TMF.</w:t>
      </w:r>
    </w:p>
    <w:p w:rsidR="006A3F20" w:rsidRPr="000C3B0C" w:rsidRDefault="006A3F20" w:rsidP="006A3F20">
      <w:pPr>
        <w:pStyle w:val="ListParagraph"/>
        <w:numPr>
          <w:ilvl w:val="0"/>
          <w:numId w:val="4"/>
        </w:numPr>
      </w:pPr>
      <w:r w:rsidRPr="000C3B0C">
        <w:t>Provide the CRA/Monitor with written p</w:t>
      </w:r>
      <w:r>
        <w:t>roof of IP destruction at site.</w:t>
      </w:r>
    </w:p>
    <w:p w:rsidR="006A3F20" w:rsidRDefault="006A3F20" w:rsidP="006A3F20">
      <w:pPr>
        <w:pStyle w:val="ListParagraph"/>
        <w:numPr>
          <w:ilvl w:val="0"/>
          <w:numId w:val="4"/>
        </w:numPr>
      </w:pPr>
      <w:r w:rsidRPr="000C3B0C">
        <w:t xml:space="preserve">Complete the Drug Return/Destruction Form or similar form provided by the sponsor/CRO. </w:t>
      </w:r>
    </w:p>
    <w:p w:rsidR="006A3F20" w:rsidRPr="000C3B0C" w:rsidRDefault="006A3F20" w:rsidP="006A3F20">
      <w:pPr>
        <w:pStyle w:val="ListParagraph"/>
        <w:numPr>
          <w:ilvl w:val="0"/>
          <w:numId w:val="4"/>
        </w:numPr>
      </w:pPr>
      <w:r w:rsidRPr="000C3B0C">
        <w:t>Provide a signed copy of the form to the CRA/Monitor and retain the original in the TMF.</w:t>
      </w:r>
    </w:p>
    <w:p w:rsidR="006A3F20" w:rsidRPr="000C3B0C" w:rsidRDefault="006A3F20" w:rsidP="006A3F20"/>
    <w:p w:rsidR="006A3F20" w:rsidRPr="006A3F20" w:rsidRDefault="006A3F20" w:rsidP="006A3F20">
      <w:pPr>
        <w:rPr>
          <w:b/>
        </w:rPr>
      </w:pPr>
      <w:r w:rsidRPr="006A3F20">
        <w:rPr>
          <w:b/>
        </w:rPr>
        <w:t>11.3.8 IP Record Retention</w:t>
      </w:r>
    </w:p>
    <w:p w:rsidR="006A3F20" w:rsidRPr="000C3B0C" w:rsidRDefault="006A3F20" w:rsidP="006A3F20">
      <w:r w:rsidRPr="000C3B0C">
        <w:t>At study completion, the CTC will file all drug records with other regulatory documents in accordance with the record retention po</w:t>
      </w:r>
      <w:r>
        <w:t>licy mentioned in the protocol.</w:t>
      </w:r>
    </w:p>
    <w:p w:rsidR="006A3F20" w:rsidRPr="000C3B0C" w:rsidRDefault="006A3F20" w:rsidP="006A3F20"/>
    <w:p w:rsidR="006A3F20" w:rsidRPr="006A3F20" w:rsidRDefault="006A3F20" w:rsidP="006A3F20">
      <w:pPr>
        <w:rPr>
          <w:b/>
        </w:rPr>
      </w:pPr>
      <w:r w:rsidRPr="006A3F20">
        <w:rPr>
          <w:b/>
        </w:rPr>
        <w:t>11.4 Applicable staff</w:t>
      </w:r>
    </w:p>
    <w:p w:rsidR="006A3F20" w:rsidRPr="000C3B0C" w:rsidRDefault="006A3F20" w:rsidP="006A3F20">
      <w:r w:rsidRPr="000C3B0C">
        <w:t>This SOP applies to those members of the study team involved in the process receipt, storage, dispensing, and return or destruction of Investigational Product (I</w:t>
      </w:r>
      <w:r>
        <w:t>P).These include the following:</w:t>
      </w:r>
    </w:p>
    <w:p w:rsidR="006A3F20" w:rsidRPr="000C3B0C" w:rsidRDefault="006A3F20" w:rsidP="006A3F20">
      <w:pPr>
        <w:pStyle w:val="ListParagraph"/>
        <w:numPr>
          <w:ilvl w:val="0"/>
          <w:numId w:val="5"/>
        </w:numPr>
      </w:pPr>
      <w:r w:rsidRPr="000C3B0C">
        <w:t>Principal Investigator (PI)</w:t>
      </w:r>
    </w:p>
    <w:p w:rsidR="006A3F20" w:rsidRPr="000C3B0C" w:rsidRDefault="006A3F20" w:rsidP="006A3F20">
      <w:pPr>
        <w:pStyle w:val="ListParagraph"/>
        <w:numPr>
          <w:ilvl w:val="0"/>
          <w:numId w:val="5"/>
        </w:numPr>
      </w:pPr>
      <w:r w:rsidRPr="000C3B0C">
        <w:t xml:space="preserve">Clinical Trial Coordinator (CTC) </w:t>
      </w:r>
    </w:p>
    <w:p w:rsidR="006A3F20" w:rsidRDefault="006A3F20" w:rsidP="006A3F20">
      <w:pPr>
        <w:pStyle w:val="ListParagraph"/>
        <w:numPr>
          <w:ilvl w:val="0"/>
          <w:numId w:val="5"/>
        </w:numPr>
      </w:pPr>
      <w:r w:rsidRPr="000C3B0C">
        <w:t>Pharmacist</w:t>
      </w:r>
    </w:p>
    <w:p w:rsidR="006A3F20" w:rsidRDefault="006A3F20" w:rsidP="006A3F20">
      <w:pPr>
        <w:pStyle w:val="ListParagraph"/>
        <w:numPr>
          <w:ilvl w:val="0"/>
          <w:numId w:val="5"/>
        </w:numPr>
      </w:pPr>
      <w:r w:rsidRPr="000C3B0C">
        <w:t xml:space="preserve">Research Nurse </w:t>
      </w:r>
    </w:p>
    <w:p w:rsidR="006A3F20" w:rsidRPr="000C3B0C" w:rsidRDefault="006A3F20" w:rsidP="006A3F20">
      <w:pPr>
        <w:pStyle w:val="ListParagraph"/>
        <w:numPr>
          <w:ilvl w:val="0"/>
          <w:numId w:val="5"/>
        </w:numPr>
      </w:pPr>
      <w:r w:rsidRPr="000C3B0C">
        <w:t>Support Staff</w:t>
      </w:r>
    </w:p>
    <w:p w:rsidR="006A3F20" w:rsidRPr="000C3B0C" w:rsidRDefault="006A3F20" w:rsidP="006A3F20"/>
    <w:p w:rsidR="006A3F20" w:rsidRPr="006A3F20" w:rsidRDefault="006A3F20" w:rsidP="006A3F20">
      <w:pPr>
        <w:rPr>
          <w:b/>
        </w:rPr>
      </w:pPr>
      <w:r w:rsidRPr="006A3F20">
        <w:rPr>
          <w:b/>
        </w:rPr>
        <w:t>11.5 Staff</w:t>
      </w:r>
      <w:r>
        <w:rPr>
          <w:b/>
        </w:rPr>
        <w:t xml:space="preserve"> responsible for implementation</w:t>
      </w:r>
    </w:p>
    <w:p w:rsidR="006A3F20" w:rsidRPr="000C3B0C" w:rsidRDefault="006A3F20" w:rsidP="006A3F20">
      <w:r>
        <w:t>The research dept</w:t>
      </w:r>
      <w:r w:rsidRPr="000C3B0C">
        <w:t xml:space="preserve">, PI and delegated Site staff will ensure that at the time of implementation of the SOP, that the research team at the clinical research unit in </w:t>
      </w:r>
      <w:r>
        <w:t>[INSTITUTION]</w:t>
      </w:r>
      <w:r w:rsidRPr="000C3B0C">
        <w:t xml:space="preserve"> are trained and in the event that an SOP is modified, provide training regarding the change(s) and ensure the</w:t>
      </w:r>
      <w:r>
        <w:t>ir compliance with the changes.</w:t>
      </w:r>
    </w:p>
    <w:p w:rsidR="006A3F20" w:rsidRPr="000C3B0C" w:rsidRDefault="006A3F20" w:rsidP="006A3F20">
      <w:r>
        <w:t xml:space="preserve">The </w:t>
      </w:r>
      <w:r w:rsidRPr="000C3B0C">
        <w:t xml:space="preserve">PI will ensure that the research team involved in the conduct of the study </w:t>
      </w:r>
      <w:r>
        <w:t>will comply with this site SOP.</w:t>
      </w:r>
    </w:p>
    <w:p w:rsidR="006A3F20" w:rsidRPr="000C3B0C" w:rsidRDefault="006A3F20" w:rsidP="006A3F20">
      <w:r w:rsidRPr="000C3B0C">
        <w:t>Inform IRB that this site SOP will be implemented within the institution.</w:t>
      </w:r>
    </w:p>
    <w:p w:rsidR="006A3F20" w:rsidRPr="000C3B0C" w:rsidRDefault="006A3F20" w:rsidP="006A3F20"/>
    <w:p w:rsidR="006A3F20" w:rsidRPr="006A3F20" w:rsidRDefault="006A3F20" w:rsidP="006A3F20">
      <w:pPr>
        <w:rPr>
          <w:b/>
        </w:rPr>
      </w:pPr>
      <w:r>
        <w:rPr>
          <w:b/>
        </w:rPr>
        <w:t>References</w:t>
      </w:r>
    </w:p>
    <w:p w:rsidR="006A3F20" w:rsidRPr="000C3B0C" w:rsidRDefault="006A3F20" w:rsidP="006A3F20">
      <w:r w:rsidRPr="000C3B0C">
        <w:t>1. 21 CFR 312.44 – Term</w:t>
      </w:r>
      <w:r>
        <w:t>ination</w:t>
      </w:r>
    </w:p>
    <w:p w:rsidR="006A3F20" w:rsidRPr="000C3B0C" w:rsidRDefault="006A3F20" w:rsidP="006A3F20">
      <w:r w:rsidRPr="000C3B0C">
        <w:t>2. 21 CFR 312.61 – Cont</w:t>
      </w:r>
      <w:r>
        <w:t>rol of the Investigational Drug</w:t>
      </w:r>
    </w:p>
    <w:p w:rsidR="006A3F20" w:rsidRPr="000C3B0C" w:rsidRDefault="006A3F20" w:rsidP="006A3F20">
      <w:r w:rsidRPr="000C3B0C">
        <w:t>3. 21 CFR 312.69 – Ha</w:t>
      </w:r>
      <w:r>
        <w:t>ndling of Controlled Substances</w:t>
      </w:r>
    </w:p>
    <w:p w:rsidR="006A3F20" w:rsidRPr="000C3B0C" w:rsidRDefault="006A3F20" w:rsidP="006A3F20">
      <w:r w:rsidRPr="000C3B0C">
        <w:t>4. CFR 312.59 – Disposition of Unused</w:t>
      </w:r>
      <w:r>
        <w:t xml:space="preserve"> Supply of Investigational Drug</w:t>
      </w:r>
    </w:p>
    <w:p w:rsidR="006A3F20" w:rsidRPr="000C3B0C" w:rsidRDefault="006A3F20" w:rsidP="006A3F20">
      <w:r w:rsidRPr="000C3B0C">
        <w:t>5. FR 312.60 – General Re</w:t>
      </w:r>
      <w:r>
        <w:t>sponsibilities of Investigators</w:t>
      </w:r>
    </w:p>
    <w:p w:rsidR="006A3F20" w:rsidRPr="000C3B0C" w:rsidRDefault="006A3F20" w:rsidP="006A3F20">
      <w:r w:rsidRPr="000C3B0C">
        <w:t xml:space="preserve">6. ICH Guidelines for Good Clinical Practice (E6) section </w:t>
      </w:r>
      <w:r>
        <w:t xml:space="preserve">4.6 – Investigational Products </w:t>
      </w:r>
      <w:bookmarkStart w:id="0" w:name="_GoBack"/>
      <w:bookmarkEnd w:id="0"/>
    </w:p>
    <w:p w:rsidR="006A3F20" w:rsidRPr="000C3B0C" w:rsidRDefault="006A3F20" w:rsidP="006A3F20">
      <w:r w:rsidRPr="000C3B0C">
        <w:t xml:space="preserve">Schedule Y - Investigational Product Management </w:t>
      </w:r>
    </w:p>
    <w:p w:rsidR="006A3F20" w:rsidRPr="000C3B0C" w:rsidRDefault="006A3F20" w:rsidP="006A3F20"/>
    <w:p w:rsidR="00477D1E" w:rsidRDefault="008D2010"/>
    <w:sectPr w:rsidR="00477D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10" w:rsidRDefault="008D2010" w:rsidP="006A3F20">
      <w:pPr>
        <w:spacing w:after="0" w:line="240" w:lineRule="auto"/>
      </w:pPr>
      <w:r>
        <w:separator/>
      </w:r>
    </w:p>
  </w:endnote>
  <w:endnote w:type="continuationSeparator" w:id="0">
    <w:p w:rsidR="008D2010" w:rsidRDefault="008D2010" w:rsidP="006A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20" w:rsidRDefault="006A3F20" w:rsidP="006A3F20">
    <w:pPr>
      <w:pStyle w:val="Foote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0F3B1241" wp14:editId="6837FE3C">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6A3F20" w:rsidRPr="00855CAF" w:rsidRDefault="006A3F20" w:rsidP="006A3F20">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6A3F20" w:rsidRDefault="006A3F20" w:rsidP="006A3F20">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6A3F20" w:rsidRPr="00855CAF" w:rsidRDefault="006A3F20" w:rsidP="006A3F20">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6A3F20" w:rsidRDefault="006A3F20" w:rsidP="006A3F20">
                    <w:pPr>
                      <w:pStyle w:val="Footer"/>
                      <w:rPr>
                        <w:noProof/>
                      </w:rPr>
                    </w:pP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7212D98" wp14:editId="5EDF0C57">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DE94391" wp14:editId="68D1E2F9">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6FD475E" wp14:editId="4DA7C3FA">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8163E10" wp14:editId="4857C966">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AD622DF" wp14:editId="3404B687">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6A3F20" w:rsidRPr="0021768B" w:rsidRDefault="006A3F20" w:rsidP="006A3F2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w:drawing>
        <wp:inline distT="0" distB="0" distL="0" distR="0" wp14:anchorId="33DB3A14" wp14:editId="7C4FCD5B">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6A3F20" w:rsidRDefault="006A3F20" w:rsidP="006A3F20">
    <w:pPr>
      <w:pStyle w:val="Footer"/>
    </w:pPr>
    <w:r>
      <w:t xml:space="preserve">Page </w:t>
    </w:r>
    <w:r>
      <w:rPr>
        <w:b/>
      </w:rPr>
      <w:fldChar w:fldCharType="begin"/>
    </w:r>
    <w:r>
      <w:rPr>
        <w:b/>
      </w:rPr>
      <w:instrText xml:space="preserve"> PAGE  \* Arabic  \* MERGEFORMAT </w:instrText>
    </w:r>
    <w:r>
      <w:rPr>
        <w:b/>
      </w:rPr>
      <w:fldChar w:fldCharType="separate"/>
    </w:r>
    <w:r w:rsidR="008D201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D2010">
      <w:rPr>
        <w:b/>
        <w:noProof/>
      </w:rPr>
      <w:t>1</w:t>
    </w:r>
    <w:r>
      <w:rPr>
        <w:b/>
      </w:rPr>
      <w:fldChar w:fldCharType="end"/>
    </w:r>
  </w:p>
  <w:p w:rsidR="006A3F20" w:rsidRDefault="006A3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10" w:rsidRDefault="008D2010" w:rsidP="006A3F20">
      <w:pPr>
        <w:spacing w:after="0" w:line="240" w:lineRule="auto"/>
      </w:pPr>
      <w:r>
        <w:separator/>
      </w:r>
    </w:p>
  </w:footnote>
  <w:footnote w:type="continuationSeparator" w:id="0">
    <w:p w:rsidR="008D2010" w:rsidRDefault="008D2010" w:rsidP="006A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6A3F20" w:rsidRPr="00855CAF" w:rsidTr="00400BAE">
      <w:trPr>
        <w:trHeight w:val="699"/>
      </w:trPr>
      <w:tc>
        <w:tcPr>
          <w:tcW w:w="1668" w:type="dxa"/>
        </w:tcPr>
        <w:p w:rsidR="006A3F20" w:rsidRPr="00855CAF" w:rsidRDefault="006A3F20" w:rsidP="00400BAE">
          <w:pPr>
            <w:rPr>
              <w:b/>
              <w:sz w:val="24"/>
              <w:szCs w:val="24"/>
            </w:rPr>
          </w:pPr>
          <w:r w:rsidRPr="00855CAF">
            <w:rPr>
              <w:b/>
              <w:sz w:val="24"/>
              <w:szCs w:val="24"/>
            </w:rPr>
            <w:t>SOP TITLE:</w:t>
          </w:r>
        </w:p>
      </w:tc>
      <w:tc>
        <w:tcPr>
          <w:tcW w:w="7574" w:type="dxa"/>
        </w:tcPr>
        <w:p w:rsidR="006A3F20" w:rsidRPr="00855CAF" w:rsidRDefault="006A3F20" w:rsidP="00400BAE">
          <w:pPr>
            <w:rPr>
              <w:b/>
              <w:sz w:val="24"/>
              <w:szCs w:val="24"/>
            </w:rPr>
          </w:pPr>
          <w:r>
            <w:rPr>
              <w:b/>
              <w:sz w:val="24"/>
              <w:szCs w:val="24"/>
            </w:rPr>
            <w:t>Managing Investigational Medicinal Products (IMPs)</w:t>
          </w:r>
        </w:p>
      </w:tc>
    </w:tr>
    <w:tr w:rsidR="006A3F20" w:rsidRPr="00855CAF" w:rsidTr="00400BAE">
      <w:trPr>
        <w:trHeight w:val="252"/>
      </w:trPr>
      <w:tc>
        <w:tcPr>
          <w:tcW w:w="1668" w:type="dxa"/>
        </w:tcPr>
        <w:p w:rsidR="006A3F20" w:rsidRPr="00855CAF" w:rsidRDefault="006A3F20"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6A3F20" w:rsidRPr="00855CAF" w:rsidRDefault="006A3F20" w:rsidP="00400BAE">
          <w:pPr>
            <w:rPr>
              <w:b/>
              <w:sz w:val="24"/>
              <w:szCs w:val="24"/>
            </w:rPr>
          </w:pPr>
          <w:r w:rsidRPr="00855CAF">
            <w:rPr>
              <w:b/>
              <w:sz w:val="24"/>
              <w:szCs w:val="24"/>
            </w:rPr>
            <w:t xml:space="preserve"> 01</w:t>
          </w:r>
        </w:p>
      </w:tc>
    </w:tr>
    <w:tr w:rsidR="006A3F20" w:rsidRPr="00855CAF" w:rsidTr="00400BAE">
      <w:trPr>
        <w:trHeight w:val="252"/>
      </w:trPr>
      <w:tc>
        <w:tcPr>
          <w:tcW w:w="1668" w:type="dxa"/>
        </w:tcPr>
        <w:p w:rsidR="006A3F20" w:rsidRPr="00855CAF" w:rsidRDefault="006A3F20" w:rsidP="00400BAE">
          <w:pPr>
            <w:rPr>
              <w:b/>
              <w:sz w:val="24"/>
              <w:szCs w:val="24"/>
            </w:rPr>
          </w:pPr>
          <w:r>
            <w:rPr>
              <w:b/>
              <w:sz w:val="24"/>
              <w:szCs w:val="24"/>
            </w:rPr>
            <w:t>Date:</w:t>
          </w:r>
        </w:p>
      </w:tc>
      <w:tc>
        <w:tcPr>
          <w:tcW w:w="7574" w:type="dxa"/>
        </w:tcPr>
        <w:p w:rsidR="006A3F20" w:rsidRPr="00855CAF" w:rsidRDefault="006A3F20" w:rsidP="00400BAE">
          <w:pPr>
            <w:rPr>
              <w:b/>
              <w:sz w:val="24"/>
              <w:szCs w:val="24"/>
            </w:rPr>
          </w:pPr>
        </w:p>
      </w:tc>
    </w:tr>
  </w:tbl>
  <w:p w:rsidR="006A3F20" w:rsidRDefault="006A3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D3A"/>
    <w:multiLevelType w:val="hybridMultilevel"/>
    <w:tmpl w:val="8192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D870C5"/>
    <w:multiLevelType w:val="hybridMultilevel"/>
    <w:tmpl w:val="1064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474846"/>
    <w:multiLevelType w:val="hybridMultilevel"/>
    <w:tmpl w:val="F8E6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B6666"/>
    <w:multiLevelType w:val="hybridMultilevel"/>
    <w:tmpl w:val="442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D872DF"/>
    <w:multiLevelType w:val="hybridMultilevel"/>
    <w:tmpl w:val="354C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20"/>
    <w:rsid w:val="00600DE8"/>
    <w:rsid w:val="006A3F20"/>
    <w:rsid w:val="008D2010"/>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20"/>
    <w:rPr>
      <w:rFonts w:eastAsiaTheme="minorEastAsia"/>
      <w:lang w:val="en-US"/>
    </w:rPr>
  </w:style>
  <w:style w:type="paragraph" w:styleId="Heading3">
    <w:name w:val="heading 3"/>
    <w:basedOn w:val="Normal"/>
    <w:next w:val="Normal"/>
    <w:link w:val="Heading3Char"/>
    <w:qFormat/>
    <w:rsid w:val="006A3F20"/>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6A3F20"/>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3F2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A3F2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A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F20"/>
    <w:rPr>
      <w:rFonts w:ascii="Tahoma" w:eastAsiaTheme="minorEastAsia" w:hAnsi="Tahoma" w:cs="Tahoma"/>
      <w:sz w:val="16"/>
      <w:szCs w:val="16"/>
      <w:lang w:val="en-US"/>
    </w:rPr>
  </w:style>
  <w:style w:type="paragraph" w:styleId="Header">
    <w:name w:val="header"/>
    <w:basedOn w:val="Normal"/>
    <w:link w:val="HeaderChar"/>
    <w:uiPriority w:val="99"/>
    <w:unhideWhenUsed/>
    <w:rsid w:val="006A3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20"/>
    <w:rPr>
      <w:rFonts w:eastAsiaTheme="minorEastAsia"/>
      <w:lang w:val="en-US"/>
    </w:rPr>
  </w:style>
  <w:style w:type="paragraph" w:styleId="Footer">
    <w:name w:val="footer"/>
    <w:basedOn w:val="Normal"/>
    <w:link w:val="FooterChar"/>
    <w:uiPriority w:val="99"/>
    <w:unhideWhenUsed/>
    <w:rsid w:val="006A3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F20"/>
    <w:rPr>
      <w:rFonts w:eastAsiaTheme="minorEastAsia"/>
      <w:lang w:val="en-US"/>
    </w:rPr>
  </w:style>
  <w:style w:type="table" w:styleId="TableGrid">
    <w:name w:val="Table Grid"/>
    <w:basedOn w:val="TableNormal"/>
    <w:uiPriority w:val="59"/>
    <w:rsid w:val="006A3F2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6A3F20"/>
    <w:rPr>
      <w:color w:val="0000FF"/>
      <w:u w:val="single"/>
    </w:rPr>
  </w:style>
  <w:style w:type="paragraph" w:styleId="ListParagraph">
    <w:name w:val="List Paragraph"/>
    <w:basedOn w:val="Normal"/>
    <w:uiPriority w:val="34"/>
    <w:qFormat/>
    <w:rsid w:val="006A3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20"/>
    <w:rPr>
      <w:rFonts w:eastAsiaTheme="minorEastAsia"/>
      <w:lang w:val="en-US"/>
    </w:rPr>
  </w:style>
  <w:style w:type="paragraph" w:styleId="Heading3">
    <w:name w:val="heading 3"/>
    <w:basedOn w:val="Normal"/>
    <w:next w:val="Normal"/>
    <w:link w:val="Heading3Char"/>
    <w:qFormat/>
    <w:rsid w:val="006A3F20"/>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6A3F20"/>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3F2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A3F2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A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F20"/>
    <w:rPr>
      <w:rFonts w:ascii="Tahoma" w:eastAsiaTheme="minorEastAsia" w:hAnsi="Tahoma" w:cs="Tahoma"/>
      <w:sz w:val="16"/>
      <w:szCs w:val="16"/>
      <w:lang w:val="en-US"/>
    </w:rPr>
  </w:style>
  <w:style w:type="paragraph" w:styleId="Header">
    <w:name w:val="header"/>
    <w:basedOn w:val="Normal"/>
    <w:link w:val="HeaderChar"/>
    <w:uiPriority w:val="99"/>
    <w:unhideWhenUsed/>
    <w:rsid w:val="006A3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F20"/>
    <w:rPr>
      <w:rFonts w:eastAsiaTheme="minorEastAsia"/>
      <w:lang w:val="en-US"/>
    </w:rPr>
  </w:style>
  <w:style w:type="paragraph" w:styleId="Footer">
    <w:name w:val="footer"/>
    <w:basedOn w:val="Normal"/>
    <w:link w:val="FooterChar"/>
    <w:uiPriority w:val="99"/>
    <w:unhideWhenUsed/>
    <w:rsid w:val="006A3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F20"/>
    <w:rPr>
      <w:rFonts w:eastAsiaTheme="minorEastAsia"/>
      <w:lang w:val="en-US"/>
    </w:rPr>
  </w:style>
  <w:style w:type="table" w:styleId="TableGrid">
    <w:name w:val="Table Grid"/>
    <w:basedOn w:val="TableNormal"/>
    <w:uiPriority w:val="59"/>
    <w:rsid w:val="006A3F2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6A3F20"/>
    <w:rPr>
      <w:color w:val="0000FF"/>
      <w:u w:val="single"/>
    </w:rPr>
  </w:style>
  <w:style w:type="paragraph" w:styleId="ListParagraph">
    <w:name w:val="List Paragraph"/>
    <w:basedOn w:val="Normal"/>
    <w:uiPriority w:val="34"/>
    <w:qFormat/>
    <w:rsid w:val="006A3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2015-08-11T13:55:00Z</dcterms:created>
  <dcterms:modified xsi:type="dcterms:W3CDTF">2015-08-11T14:02:00Z</dcterms:modified>
</cp:coreProperties>
</file>